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rPr>
        <w:t>常德市文化市场综合行政执法支队首违免罚清单</w:t>
      </w:r>
    </w:p>
    <w:p>
      <w:pPr>
        <w:rPr>
          <w:rFonts w:ascii="黑体" w:hAnsi="黑体" w:eastAsia="黑体"/>
          <w:sz w:val="24"/>
        </w:rPr>
      </w:pPr>
    </w:p>
    <w:tbl>
      <w:tblPr>
        <w:tblStyle w:val="5"/>
        <w:tblW w:w="14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07"/>
        <w:gridCol w:w="7654"/>
        <w:gridCol w:w="297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5"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2007" w:type="dxa"/>
            <w:vAlign w:val="center"/>
          </w:tcPr>
          <w:p>
            <w:pPr>
              <w:jc w:val="center"/>
              <w:rPr>
                <w:rFonts w:ascii="黑体" w:hAnsi="黑体" w:eastAsia="黑体" w:cs="黑体"/>
                <w:sz w:val="28"/>
                <w:szCs w:val="28"/>
              </w:rPr>
            </w:pPr>
            <w:r>
              <w:rPr>
                <w:rFonts w:hint="eastAsia" w:ascii="黑体" w:hAnsi="黑体" w:eastAsia="黑体" w:cs="黑体"/>
                <w:sz w:val="28"/>
                <w:szCs w:val="28"/>
              </w:rPr>
              <w:t>违规行为</w:t>
            </w:r>
          </w:p>
        </w:tc>
        <w:tc>
          <w:tcPr>
            <w:tcW w:w="7654" w:type="dxa"/>
            <w:vAlign w:val="center"/>
          </w:tcPr>
          <w:p>
            <w:pPr>
              <w:jc w:val="center"/>
              <w:rPr>
                <w:rFonts w:ascii="黑体" w:hAnsi="黑体" w:eastAsia="黑体" w:cs="黑体"/>
                <w:sz w:val="28"/>
                <w:szCs w:val="28"/>
              </w:rPr>
            </w:pPr>
            <w:r>
              <w:rPr>
                <w:rFonts w:hint="eastAsia" w:ascii="黑体" w:hAnsi="黑体" w:eastAsia="黑体" w:cs="黑体"/>
                <w:sz w:val="28"/>
                <w:szCs w:val="28"/>
              </w:rPr>
              <w:t>处罚理由及依据</w:t>
            </w:r>
          </w:p>
        </w:tc>
        <w:tc>
          <w:tcPr>
            <w:tcW w:w="2977" w:type="dxa"/>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rPr>
              <w:t>免罚</w:t>
            </w:r>
            <w:r>
              <w:rPr>
                <w:rFonts w:hint="eastAsia" w:ascii="黑体" w:hAnsi="黑体" w:eastAsia="黑体" w:cs="黑体"/>
                <w:sz w:val="28"/>
                <w:szCs w:val="28"/>
                <w:lang w:eastAsia="zh-CN"/>
              </w:rPr>
              <w:t>条件</w:t>
            </w:r>
          </w:p>
        </w:tc>
        <w:tc>
          <w:tcPr>
            <w:tcW w:w="1088" w:type="dxa"/>
            <w:vAlign w:val="center"/>
          </w:tcPr>
          <w:p>
            <w:pPr>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795" w:type="dxa"/>
            <w:vAlign w:val="center"/>
          </w:tcPr>
          <w:p>
            <w:pPr>
              <w:spacing w:line="380" w:lineRule="exact"/>
              <w:jc w:val="center"/>
              <w:rPr>
                <w:rFonts w:ascii="仿宋" w:hAnsi="仿宋" w:eastAsia="仿宋"/>
                <w:sz w:val="24"/>
              </w:rPr>
            </w:pPr>
            <w:r>
              <w:rPr>
                <w:rFonts w:hint="eastAsia" w:ascii="仿宋" w:hAnsi="仿宋" w:eastAsia="仿宋"/>
                <w:sz w:val="24"/>
              </w:rPr>
              <w:t>1</w:t>
            </w:r>
          </w:p>
        </w:tc>
        <w:tc>
          <w:tcPr>
            <w:tcW w:w="2007"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互联网上网服务营业场所未按规定悬挂《网络文化经营许可证》或者未成年人禁入标志。</w:t>
            </w:r>
          </w:p>
        </w:tc>
        <w:tc>
          <w:tcPr>
            <w:tcW w:w="7654"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《互联网上网服务营业场所管理条例》第二十条  互联网上网服务营业场所经营单位应当在营业场所的显著位置悬挂《网络文化经营许可证》和营业执照。</w:t>
            </w:r>
          </w:p>
          <w:p>
            <w:pPr>
              <w:spacing w:line="380" w:lineRule="exact"/>
              <w:ind w:firstLine="480" w:firstLineChars="200"/>
              <w:rPr>
                <w:rFonts w:hint="eastAsia" w:ascii="仿宋" w:hAnsi="仿宋" w:eastAsia="仿宋"/>
                <w:sz w:val="24"/>
              </w:rPr>
            </w:pPr>
            <w:r>
              <w:rPr>
                <w:rFonts w:hint="eastAsia" w:ascii="仿宋" w:hAnsi="仿宋" w:eastAsia="仿宋"/>
                <w:sz w:val="24"/>
              </w:rPr>
              <w:t>第三十一条</w:t>
            </w:r>
            <w:r>
              <w:rPr>
                <w:rFonts w:hint="eastAsia" w:ascii="仿宋" w:hAnsi="仿宋" w:eastAsia="仿宋"/>
                <w:sz w:val="24"/>
                <w:lang w:eastAsia="zh-CN"/>
              </w:rPr>
              <w:t>第</w:t>
            </w:r>
            <w:r>
              <w:rPr>
                <w:rFonts w:hint="eastAsia" w:ascii="仿宋" w:hAnsi="仿宋" w:eastAsia="仿宋"/>
                <w:sz w:val="24"/>
              </w:rPr>
              <w:t>（五）</w:t>
            </w:r>
            <w:r>
              <w:rPr>
                <w:rFonts w:hint="eastAsia" w:ascii="仿宋" w:hAnsi="仿宋" w:eastAsia="仿宋"/>
                <w:sz w:val="24"/>
                <w:lang w:eastAsia="zh-CN"/>
              </w:rPr>
              <w:t>项</w:t>
            </w:r>
            <w:r>
              <w:rPr>
                <w:rFonts w:hint="eastAsia" w:ascii="仿宋" w:hAnsi="仿宋" w:eastAsia="仿宋"/>
                <w:sz w:val="24"/>
              </w:rPr>
              <w:t xml:space="preserve">  互联网上网服务营业场所经营单位违反本条例的规定，有下列行为之一的，由文化行政部门给予警告，可以并处15000元以下的罚款；情节严重的，责令停业整顿，直至吊销《网络文化经营许可证》：</w:t>
            </w:r>
          </w:p>
          <w:p>
            <w:pPr>
              <w:spacing w:line="380" w:lineRule="exact"/>
              <w:ind w:firstLine="480" w:firstLineChars="200"/>
              <w:rPr>
                <w:rFonts w:hint="eastAsia" w:ascii="仿宋" w:hAnsi="仿宋" w:eastAsia="仿宋"/>
                <w:sz w:val="24"/>
                <w:lang w:eastAsia="zh-CN"/>
              </w:rPr>
            </w:pPr>
            <w:r>
              <w:rPr>
                <w:rFonts w:hint="eastAsia" w:ascii="仿宋" w:hAnsi="仿宋" w:eastAsia="仿宋"/>
                <w:sz w:val="24"/>
              </w:rPr>
              <w:t>（五）未悬挂《网络文化经营许可证》或者未成年人禁入标志的</w:t>
            </w:r>
            <w:r>
              <w:rPr>
                <w:rFonts w:hint="eastAsia" w:ascii="仿宋" w:hAnsi="仿宋" w:eastAsia="仿宋"/>
                <w:sz w:val="24"/>
                <w:lang w:eastAsia="zh-CN"/>
              </w:rPr>
              <w:t>；</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新办证经营场所首年初次违法且及时改正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2</w:t>
            </w:r>
          </w:p>
        </w:tc>
        <w:tc>
          <w:tcPr>
            <w:tcW w:w="2007"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娱乐场所未在显著位置悬挂娱乐经营许可证、未成年人禁入或者限入标志或标志未注明</w:t>
            </w:r>
            <w:bookmarkStart w:id="0" w:name="_GoBack"/>
            <w:bookmarkEnd w:id="0"/>
            <w:r>
              <w:rPr>
                <w:rFonts w:hint="eastAsia" w:ascii="仿宋" w:hAnsi="仿宋" w:eastAsia="仿宋"/>
                <w:sz w:val="24"/>
              </w:rPr>
              <w:t>文化市场举报电话。</w:t>
            </w:r>
          </w:p>
        </w:tc>
        <w:tc>
          <w:tcPr>
            <w:tcW w:w="7654"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《娱乐场所管理办法》第二十四条  娱乐场所应当在显著位置悬挂娱乐经营许可证、未成年人禁入或者限入标志，标志应当注明文化市场举报电话。</w:t>
            </w:r>
          </w:p>
          <w:p>
            <w:pPr>
              <w:spacing w:line="380" w:lineRule="exact"/>
              <w:ind w:firstLine="480" w:firstLineChars="200"/>
              <w:rPr>
                <w:rFonts w:hint="eastAsia" w:ascii="仿宋" w:hAnsi="仿宋" w:eastAsia="仿宋"/>
                <w:sz w:val="24"/>
                <w:lang w:eastAsia="zh-CN"/>
              </w:rPr>
            </w:pPr>
            <w:r>
              <w:rPr>
                <w:rFonts w:hint="eastAsia" w:ascii="仿宋" w:hAnsi="仿宋" w:eastAsia="仿宋"/>
                <w:sz w:val="24"/>
              </w:rPr>
              <w:t>第三十三条  娱乐场所违反本办法第二十四条规定的，由县级以上人民政府文化主管部门责令改正，予以警告</w:t>
            </w:r>
            <w:r>
              <w:rPr>
                <w:rFonts w:hint="eastAsia" w:ascii="仿宋" w:hAnsi="仿宋" w:eastAsia="仿宋"/>
                <w:sz w:val="24"/>
                <w:lang w:eastAsia="zh-CN"/>
              </w:rPr>
              <w:t>。</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3</w:t>
            </w:r>
          </w:p>
        </w:tc>
        <w:tc>
          <w:tcPr>
            <w:tcW w:w="2007" w:type="dxa"/>
            <w:vAlign w:val="center"/>
          </w:tcPr>
          <w:p>
            <w:pPr>
              <w:ind w:firstLine="480" w:firstLineChars="200"/>
              <w:rPr>
                <w:rFonts w:ascii="仿宋" w:hAnsi="仿宋" w:eastAsia="仿宋"/>
                <w:kern w:val="0"/>
                <w:sz w:val="24"/>
              </w:rPr>
            </w:pPr>
            <w:r>
              <w:rPr>
                <w:rFonts w:hint="eastAsia" w:ascii="仿宋" w:hAnsi="仿宋" w:eastAsia="仿宋"/>
                <w:sz w:val="24"/>
              </w:rPr>
              <w:t>旅行社及其分社、服务网点，未将《旅行社业务经营许可证》、《旅行社分社备案登记证明》或者《旅行社服务网点备案登记证明》，与营业执照一起，悬挂在经营场所的显要位置。</w:t>
            </w:r>
          </w:p>
        </w:tc>
        <w:tc>
          <w:tcPr>
            <w:tcW w:w="7654"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《旅行社条例实施细则》第二十六条  旅行社及其分社、服务网点，应当将《旅行社业务经营许可证》、《旅行社分社备案登记证明》或者《旅行社服务网点备案登记证明》，与营业执照一起，悬挂在经营场所的显要位置</w:t>
            </w:r>
          </w:p>
          <w:p>
            <w:pPr>
              <w:spacing w:line="362" w:lineRule="exact"/>
              <w:ind w:firstLine="480" w:firstLineChars="200"/>
              <w:rPr>
                <w:rFonts w:ascii="仿宋" w:hAnsi="仿宋" w:eastAsia="仿宋"/>
                <w:sz w:val="24"/>
              </w:rPr>
            </w:pPr>
            <w:r>
              <w:rPr>
                <w:rFonts w:hint="eastAsia" w:ascii="仿宋" w:hAnsi="仿宋" w:eastAsia="仿宋"/>
                <w:sz w:val="24"/>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977" w:type="dxa"/>
            <w:vAlign w:val="center"/>
          </w:tcPr>
          <w:p>
            <w:pPr>
              <w:spacing w:line="380" w:lineRule="exact"/>
              <w:ind w:firstLine="480" w:firstLineChars="200"/>
              <w:rPr>
                <w:rFonts w:hint="eastAsia" w:ascii="仿宋" w:hAnsi="仿宋" w:eastAsia="仿宋"/>
                <w:sz w:val="24"/>
                <w:lang w:eastAsia="zh-CN"/>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4</w:t>
            </w:r>
          </w:p>
        </w:tc>
        <w:tc>
          <w:tcPr>
            <w:tcW w:w="2007" w:type="dxa"/>
            <w:vAlign w:val="center"/>
          </w:tcPr>
          <w:p>
            <w:pPr>
              <w:ind w:firstLine="480" w:firstLineChars="200"/>
              <w:rPr>
                <w:rFonts w:ascii="仿宋" w:hAnsi="仿宋" w:eastAsia="仿宋"/>
                <w:kern w:val="0"/>
                <w:sz w:val="24"/>
              </w:rPr>
            </w:pPr>
            <w:r>
              <w:rPr>
                <w:rFonts w:hint="eastAsia" w:ascii="仿宋" w:hAnsi="仿宋" w:eastAsia="仿宋"/>
                <w:kern w:val="0"/>
                <w:sz w:val="24"/>
              </w:rPr>
              <w:t>设立从事艺术品经营活动的经营单位或者其他经营单位增设艺术品经营业务，未依法到文化行政部门备案。</w:t>
            </w:r>
          </w:p>
        </w:tc>
        <w:tc>
          <w:tcPr>
            <w:tcW w:w="7654" w:type="dxa"/>
            <w:vAlign w:val="center"/>
          </w:tcPr>
          <w:p>
            <w:pPr>
              <w:spacing w:line="362" w:lineRule="exact"/>
              <w:ind w:firstLine="480" w:firstLineChars="200"/>
              <w:rPr>
                <w:rFonts w:ascii="仿宋" w:hAnsi="仿宋" w:eastAsia="仿宋" w:cs="宋体"/>
                <w:kern w:val="0"/>
                <w:sz w:val="24"/>
              </w:rPr>
            </w:pPr>
            <w:r>
              <w:rPr>
                <w:rFonts w:hint="eastAsia" w:ascii="仿宋" w:hAnsi="仿宋" w:eastAsia="仿宋"/>
                <w:kern w:val="0"/>
                <w:sz w:val="24"/>
              </w:rPr>
              <w:t>《艺术品经营管理办法》</w:t>
            </w:r>
            <w:r>
              <w:rPr>
                <w:rFonts w:hint="eastAsia" w:ascii="仿宋" w:hAnsi="仿宋" w:eastAsia="仿宋"/>
                <w:sz w:val="24"/>
              </w:rPr>
              <w:t xml:space="preserve">第五条  </w:t>
            </w:r>
            <w:r>
              <w:rPr>
                <w:rFonts w:hint="eastAsia" w:ascii="仿宋" w:hAnsi="仿宋" w:eastAsia="仿宋" w:cs="宋体"/>
                <w:kern w:val="0"/>
                <w:sz w:val="24"/>
              </w:rPr>
              <w:t>设立从事艺术品经营活动的经营单位，应当到其住所地县级以上人民政府工商行政管理部门申领营业执照，并在领取营业执照之日起15日内，到其住所地县级以上人民政府文化行政部门备案。</w:t>
            </w:r>
          </w:p>
          <w:p>
            <w:pPr>
              <w:spacing w:line="362" w:lineRule="exact"/>
              <w:ind w:firstLine="480" w:firstLineChars="200"/>
              <w:rPr>
                <w:rFonts w:hint="eastAsia" w:ascii="仿宋" w:hAnsi="仿宋" w:eastAsia="仿宋" w:cs="宋体"/>
                <w:kern w:val="0"/>
                <w:sz w:val="24"/>
              </w:rPr>
            </w:pPr>
            <w:r>
              <w:rPr>
                <w:rFonts w:hint="eastAsia" w:ascii="仿宋" w:hAnsi="仿宋" w:eastAsia="仿宋" w:cs="宋体"/>
                <w:kern w:val="0"/>
                <w:sz w:val="24"/>
              </w:rPr>
              <w:t>其他经营单位增设艺术品经营业务的，应当按前款办理备案手续。</w:t>
            </w:r>
          </w:p>
          <w:p>
            <w:pPr>
              <w:spacing w:line="362" w:lineRule="exact"/>
              <w:ind w:firstLine="480" w:firstLineChars="200"/>
              <w:rPr>
                <w:rFonts w:ascii="仿宋" w:hAnsi="仿宋" w:eastAsia="仿宋"/>
                <w:sz w:val="24"/>
              </w:rPr>
            </w:pPr>
            <w:r>
              <w:rPr>
                <w:rFonts w:hint="eastAsia" w:ascii="仿宋" w:hAnsi="仿宋" w:eastAsia="仿宋"/>
                <w:sz w:val="24"/>
              </w:rPr>
              <w:t>第十九条  违反本办法第五条规定的，由县级以上人民政府文化行政部门或者依法授权的文化市场综合执法机构责令改正，并可根据情节轻重处10000以下罚款。</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5</w:t>
            </w:r>
          </w:p>
        </w:tc>
        <w:tc>
          <w:tcPr>
            <w:tcW w:w="2007" w:type="dxa"/>
            <w:vAlign w:val="center"/>
          </w:tcPr>
          <w:p>
            <w:pPr>
              <w:ind w:firstLine="480" w:firstLineChars="200"/>
              <w:rPr>
                <w:rFonts w:hint="eastAsia" w:ascii="仿宋" w:hAnsi="仿宋" w:eastAsia="仿宋"/>
                <w:kern w:val="0"/>
                <w:sz w:val="24"/>
                <w:lang w:eastAsia="zh-CN"/>
              </w:rPr>
            </w:pPr>
            <w:r>
              <w:rPr>
                <w:rFonts w:hint="eastAsia" w:ascii="仿宋" w:hAnsi="仿宋" w:eastAsia="仿宋"/>
                <w:kern w:val="0"/>
                <w:sz w:val="24"/>
              </w:rPr>
              <w:t>未按要求配备救生员</w:t>
            </w:r>
            <w:r>
              <w:rPr>
                <w:rFonts w:hint="eastAsia" w:ascii="仿宋" w:hAnsi="仿宋" w:eastAsia="仿宋"/>
                <w:kern w:val="0"/>
                <w:sz w:val="24"/>
                <w:lang w:eastAsia="zh-CN"/>
              </w:rPr>
              <w:t>。</w:t>
            </w:r>
          </w:p>
        </w:tc>
        <w:tc>
          <w:tcPr>
            <w:tcW w:w="7654" w:type="dxa"/>
            <w:vAlign w:val="center"/>
          </w:tcPr>
          <w:p>
            <w:pPr>
              <w:ind w:firstLine="480" w:firstLineChars="200"/>
            </w:pPr>
            <w:r>
              <w:rPr>
                <w:rFonts w:hint="eastAsia" w:ascii="仿宋" w:hAnsi="仿宋" w:eastAsia="仿宋"/>
                <w:kern w:val="0"/>
                <w:sz w:val="24"/>
              </w:rPr>
              <w:t>《湖南省公共游泳场所管理办法》第十五条</w:t>
            </w:r>
            <w:r>
              <w:rPr>
                <w:rFonts w:hint="eastAsia" w:ascii="仿宋" w:hAnsi="仿宋" w:eastAsia="仿宋"/>
                <w:kern w:val="0"/>
                <w:sz w:val="24"/>
                <w:lang w:eastAsia="zh-CN"/>
              </w:rPr>
              <w:t>第一款</w:t>
            </w:r>
            <w:r>
              <w:rPr>
                <w:rFonts w:hint="eastAsia" w:ascii="仿宋" w:hAnsi="仿宋" w:eastAsia="仿宋"/>
                <w:sz w:val="24"/>
              </w:rPr>
              <w:t xml:space="preserve">  公共游泳场所应当依法配备取得资格证书的救生员。人工室内外游泳场所、综合性水上乐园水面面积在250平方米以下的，至少配备救生员2人；水面面积在250平方米以上的，按面积每增加250平方米及以内，增加1人的比例配备救生员。天然游泳场所按每360平方米水面面积配备1人的比例配备救生员。</w:t>
            </w:r>
          </w:p>
          <w:p>
            <w:pPr>
              <w:spacing w:line="362" w:lineRule="exact"/>
              <w:ind w:firstLine="480" w:firstLineChars="200"/>
              <w:rPr>
                <w:rFonts w:hint="eastAsia" w:ascii="仿宋" w:hAnsi="仿宋" w:eastAsia="仿宋"/>
                <w:kern w:val="0"/>
                <w:sz w:val="24"/>
              </w:rPr>
            </w:pPr>
            <w:r>
              <w:rPr>
                <w:rFonts w:hint="eastAsia" w:ascii="仿宋" w:hAnsi="仿宋" w:eastAsia="仿宋"/>
                <w:kern w:val="0"/>
                <w:sz w:val="24"/>
              </w:rPr>
              <w:t>第二十五条</w:t>
            </w:r>
            <w:r>
              <w:rPr>
                <w:rFonts w:hint="eastAsia" w:ascii="仿宋" w:hAnsi="仿宋" w:eastAsia="仿宋"/>
                <w:kern w:val="0"/>
                <w:sz w:val="24"/>
                <w:lang w:eastAsia="zh-CN"/>
              </w:rPr>
              <w:t>第（三）项</w:t>
            </w:r>
            <w:r>
              <w:rPr>
                <w:rFonts w:hint="eastAsia" w:ascii="仿宋" w:hAnsi="仿宋" w:eastAsia="仿宋"/>
                <w:kern w:val="0"/>
                <w:sz w:val="24"/>
              </w:rPr>
              <w:t xml:space="preserve">  公共游泳场所有下列情形之一的，由县级以上人民政府体育行政主管部门责令限期改正；逾期不改正的，处500元以上5000元以下的罚款：</w:t>
            </w:r>
          </w:p>
          <w:p>
            <w:pPr>
              <w:spacing w:line="362" w:lineRule="exact"/>
              <w:ind w:firstLine="480" w:firstLineChars="200"/>
              <w:rPr>
                <w:rFonts w:hint="eastAsia" w:ascii="仿宋" w:hAnsi="仿宋" w:eastAsia="仿宋"/>
                <w:kern w:val="0"/>
                <w:sz w:val="24"/>
                <w:lang w:eastAsia="zh-CN"/>
              </w:rPr>
            </w:pPr>
            <w:r>
              <w:rPr>
                <w:rFonts w:hint="eastAsia" w:ascii="仿宋" w:hAnsi="仿宋" w:eastAsia="仿宋"/>
                <w:kern w:val="0"/>
                <w:sz w:val="24"/>
              </w:rPr>
              <w:t>（三）未按要求配备救生员</w:t>
            </w:r>
            <w:r>
              <w:rPr>
                <w:rFonts w:hint="eastAsia" w:ascii="仿宋" w:hAnsi="仿宋" w:eastAsia="仿宋"/>
                <w:kern w:val="0"/>
                <w:sz w:val="24"/>
                <w:lang w:eastAsia="zh-CN"/>
              </w:rPr>
              <w:t>；</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bl>
    <w:p>
      <w:pPr>
        <w:rPr>
          <w:kern w:val="0"/>
        </w:rPr>
      </w:pPr>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U3ZDlmMjlkYzI5NmFmZjRjMjZhY2JjNTBkNWZkZGIifQ=="/>
  </w:docVars>
  <w:rsids>
    <w:rsidRoot w:val="00D207E9"/>
    <w:rsid w:val="00006639"/>
    <w:rsid w:val="00057A2B"/>
    <w:rsid w:val="00072820"/>
    <w:rsid w:val="000B239B"/>
    <w:rsid w:val="000F496B"/>
    <w:rsid w:val="00240DB2"/>
    <w:rsid w:val="00365913"/>
    <w:rsid w:val="00372E90"/>
    <w:rsid w:val="0042183D"/>
    <w:rsid w:val="00432975"/>
    <w:rsid w:val="00453D1D"/>
    <w:rsid w:val="004A1600"/>
    <w:rsid w:val="004F7EFB"/>
    <w:rsid w:val="00541B2A"/>
    <w:rsid w:val="005C3CFA"/>
    <w:rsid w:val="005C6E8B"/>
    <w:rsid w:val="006000D9"/>
    <w:rsid w:val="00616EEA"/>
    <w:rsid w:val="00655E93"/>
    <w:rsid w:val="00697737"/>
    <w:rsid w:val="006A5101"/>
    <w:rsid w:val="00795529"/>
    <w:rsid w:val="007979D7"/>
    <w:rsid w:val="00813F64"/>
    <w:rsid w:val="008B30AF"/>
    <w:rsid w:val="009727C1"/>
    <w:rsid w:val="00995B94"/>
    <w:rsid w:val="009F4C0A"/>
    <w:rsid w:val="00A6452E"/>
    <w:rsid w:val="00A9019D"/>
    <w:rsid w:val="00AC0E0D"/>
    <w:rsid w:val="00AE2644"/>
    <w:rsid w:val="00B369C7"/>
    <w:rsid w:val="00B50AB4"/>
    <w:rsid w:val="00C02F56"/>
    <w:rsid w:val="00C05F87"/>
    <w:rsid w:val="00C9512F"/>
    <w:rsid w:val="00D207E9"/>
    <w:rsid w:val="00EC56DC"/>
    <w:rsid w:val="00F35AAA"/>
    <w:rsid w:val="00F44819"/>
    <w:rsid w:val="00FC063B"/>
    <w:rsid w:val="00FD3F80"/>
    <w:rsid w:val="029E6BF7"/>
    <w:rsid w:val="030B7155"/>
    <w:rsid w:val="053C7B53"/>
    <w:rsid w:val="07B43346"/>
    <w:rsid w:val="0B7F6AE7"/>
    <w:rsid w:val="0BEE60FF"/>
    <w:rsid w:val="0D3A3C22"/>
    <w:rsid w:val="11BF7400"/>
    <w:rsid w:val="11C3125D"/>
    <w:rsid w:val="173176DC"/>
    <w:rsid w:val="1A16660A"/>
    <w:rsid w:val="1CFE3342"/>
    <w:rsid w:val="1D4102B2"/>
    <w:rsid w:val="2173382E"/>
    <w:rsid w:val="23813DB3"/>
    <w:rsid w:val="25525C60"/>
    <w:rsid w:val="260A33C8"/>
    <w:rsid w:val="29C271E1"/>
    <w:rsid w:val="2C3C7F22"/>
    <w:rsid w:val="32101AC3"/>
    <w:rsid w:val="339417AE"/>
    <w:rsid w:val="36103845"/>
    <w:rsid w:val="395B7385"/>
    <w:rsid w:val="3BE548D7"/>
    <w:rsid w:val="417438AE"/>
    <w:rsid w:val="42AA7D83"/>
    <w:rsid w:val="491561E7"/>
    <w:rsid w:val="492D36C0"/>
    <w:rsid w:val="49544A18"/>
    <w:rsid w:val="4AC6616E"/>
    <w:rsid w:val="4EE911FE"/>
    <w:rsid w:val="5341757B"/>
    <w:rsid w:val="534633FE"/>
    <w:rsid w:val="559E4C9F"/>
    <w:rsid w:val="5705368F"/>
    <w:rsid w:val="5A864B63"/>
    <w:rsid w:val="5CC71C48"/>
    <w:rsid w:val="5DC862A8"/>
    <w:rsid w:val="5E4652CB"/>
    <w:rsid w:val="643A6F9C"/>
    <w:rsid w:val="67DFF632"/>
    <w:rsid w:val="68E200C6"/>
    <w:rsid w:val="6A76446B"/>
    <w:rsid w:val="6C674AD5"/>
    <w:rsid w:val="6E8B0311"/>
    <w:rsid w:val="72502736"/>
    <w:rsid w:val="72C463EE"/>
    <w:rsid w:val="746D78FF"/>
    <w:rsid w:val="756E3083"/>
    <w:rsid w:val="769D391D"/>
    <w:rsid w:val="79FFBF0A"/>
    <w:rsid w:val="B7068BCB"/>
    <w:rsid w:val="FF604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1287</Words>
  <Characters>1317</Characters>
  <Lines>13</Lines>
  <Paragraphs>3</Paragraphs>
  <TotalTime>5</TotalTime>
  <ScaleCrop>false</ScaleCrop>
  <LinksUpToDate>false</LinksUpToDate>
  <CharactersWithSpaces>1337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2020-09-11T08:29:00Z</dcterms:created>
  <dc:creator>15424</dc:creator>
  <cp:lastModifiedBy>Administrator</cp:lastModifiedBy>
  <cp:lastPrinted>2020-09-18T03:05:00Z</cp:lastPrinted>
  <dcterms:modified xsi:type="dcterms:W3CDTF">2022-09-07T03:43:46Z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9F20FC904BA041C59BB0728F7903DDF0</vt:lpwstr>
  </property>
</Properties>
</file>